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F9" w:rsidRDefault="003D47F9" w:rsidP="004C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4C519F" w:rsidRPr="00AC06D7" w:rsidRDefault="004C519F" w:rsidP="004C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4C519F" w:rsidRPr="00AC06D7" w:rsidRDefault="004C519F" w:rsidP="004C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Кедровый за 2018 год</w:t>
      </w:r>
    </w:p>
    <w:p w:rsidR="004C519F" w:rsidRPr="00AC06D7" w:rsidRDefault="004C519F" w:rsidP="004C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от 22.12.2011 № 99 «Об образовании Контрольно-счетной палаты                Ханты-Мансийского района», пункт 1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раздела II плана работы                  контрольно-счетной палаты  Ханты-Мансийского района, утвержденного приказом контрольно-счетной палаты Ханты-Мансийского района             от 27.12.2018 № 21 и соглашение о передаче полномочий                    контрольно-счетного органа сельского поселения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                                    по осуществлению внешнего муниципального контроля                       контрольно-счетной палате Ханты-Мансийского района от 03.09.2018 года.</w:t>
      </w: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C06D7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>.</w:t>
      </w: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Кедровый» за 2018 год.</w:t>
      </w:r>
    </w:p>
    <w:p w:rsidR="004C519F" w:rsidRPr="00AC06D7" w:rsidRDefault="004C519F" w:rsidP="004C5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4C519F" w:rsidRPr="00AC06D7" w:rsidRDefault="004C519F" w:rsidP="004C519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рассмотрена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4C519F" w:rsidRPr="00AC06D7" w:rsidRDefault="004C519F" w:rsidP="004C51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C06D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C06D7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4C519F" w:rsidRPr="00AC06D7" w:rsidRDefault="004C519F" w:rsidP="004C51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с 28 марта 2019 года по </w:t>
      </w:r>
      <w:r w:rsidRPr="00F57E71">
        <w:rPr>
          <w:rFonts w:ascii="Times New Roman" w:hAnsi="Times New Roman" w:cs="Times New Roman"/>
          <w:sz w:val="28"/>
          <w:szCs w:val="28"/>
        </w:rPr>
        <w:t>29 а</w:t>
      </w:r>
      <w:r w:rsidRPr="00AC06D7">
        <w:rPr>
          <w:rFonts w:ascii="Times New Roman" w:hAnsi="Times New Roman" w:cs="Times New Roman"/>
          <w:sz w:val="28"/>
          <w:szCs w:val="28"/>
        </w:rPr>
        <w:t>преля 2019 года.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C06D7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Состав предоставленных документов соответствует требованиям пункта 3 статьи 264.1.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 xml:space="preserve">БК РФ и пункта 2 статьи 12 </w:t>
      </w:r>
      <w:r w:rsidRPr="00AC06D7">
        <w:rPr>
          <w:rFonts w:ascii="Times New Roman" w:hAnsi="Times New Roman" w:cs="Times New Roman"/>
          <w:snapToGrid w:val="0"/>
          <w:sz w:val="28"/>
          <w:szCs w:val="28"/>
        </w:rPr>
        <w:t>Положения                          об отдельных вопросах организации и осуществления бюджетного процесса в сельском поселении Кедровый, утвержденного решением Совета депутатов сельского поселения Кедровый                                           от 22.07.2015 № 22 (далее – Положение о бюджетном процессе)</w:t>
      </w:r>
      <w:r w:rsidRPr="00AC06D7">
        <w:rPr>
          <w:rFonts w:ascii="Times New Roman" w:hAnsi="Times New Roman" w:cs="Times New Roman"/>
          <w:sz w:val="28"/>
          <w:szCs w:val="28"/>
        </w:rPr>
        <w:t>, при этом в нарушение пункта 3 статьи 12 Положения о бюджетном процессе одновременно с годовым отчетом, сельским поселением не представлены итоги социально-экономического развития поселения за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AC06D7">
        <w:rPr>
          <w:rFonts w:ascii="Times New Roman" w:hAnsi="Times New Roman" w:cs="Times New Roman"/>
          <w:sz w:val="28"/>
          <w:szCs w:val="28"/>
        </w:rPr>
        <w:lastRenderedPageBreak/>
        <w:t>финансовый год и информация о состоянии муниципального долга поселения на первый и последний день отчетного финансового года.</w:t>
      </w:r>
    </w:p>
    <w:p w:rsidR="004C519F" w:rsidRPr="00AC06D7" w:rsidRDefault="004C519F" w:rsidP="004C519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06D7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4C519F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6D7">
        <w:rPr>
          <w:rFonts w:ascii="Times New Roman" w:hAnsi="Times New Roman" w:cs="Times New Roman"/>
          <w:sz w:val="28"/>
          <w:szCs w:val="28"/>
          <w:u w:val="single"/>
        </w:rPr>
        <w:t xml:space="preserve">Основные параметры бюджета сельского поселения </w:t>
      </w:r>
      <w:proofErr w:type="gramStart"/>
      <w:r w:rsidRPr="00AC06D7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AC06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AC06D7">
        <w:rPr>
          <w:rFonts w:ascii="Times New Roman" w:hAnsi="Times New Roman" w:cs="Times New Roman"/>
          <w:sz w:val="28"/>
          <w:szCs w:val="28"/>
        </w:rPr>
        <w:t xml:space="preserve">                                     от 28.12.2017 № 40 «О бюджете сельского поселения Кедровый                  на 2018 год и плановый период 2019 и 2020 годов» (в первоначальной редакции) утверждены основные характеристики бюджета сельского поселения на 2018 год: доходы – 26 892,60 тыс. рублей, расходы                                             – 26 982,60  тыс. рублей, дефицит – 0,0 тыс. рублей.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D7">
        <w:rPr>
          <w:rFonts w:ascii="Times New Roman" w:hAnsi="Times New Roman" w:cs="Times New Roman"/>
          <w:i/>
          <w:sz w:val="28"/>
          <w:szCs w:val="28"/>
        </w:rPr>
        <w:t>Принцип прозрачности (открытости), предусмотренный                  статьей 36 Бюджетного кодекса Российской Федерации не соблюден.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9F" w:rsidRPr="00C85E28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В ходе исполнения бюджета в 2018 году в бюджет сельского поселения вносились изменения, в результате которых бюджет                           сельского </w:t>
      </w:r>
      <w:r w:rsidRPr="00C85E28">
        <w:rPr>
          <w:rFonts w:ascii="Times New Roman" w:hAnsi="Times New Roman" w:cs="Times New Roman"/>
          <w:sz w:val="28"/>
          <w:szCs w:val="28"/>
        </w:rPr>
        <w:t>поселения увеличился: по доходам на 3 650,90 тыс. рублей                  или 13,58 % и составил 30 543,50 тыс. рублей, по расходам                                 на 7 230,90 тыс. рублей или 26,89 % и составил 34 123,50 тыс. рублей. Дефицит бюджета увеличился и составил 3 580,00 тыс. рублей.</w:t>
      </w:r>
    </w:p>
    <w:p w:rsidR="004C519F" w:rsidRPr="00CD2981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Итоги исполнения бюджета сельского поселения за 2018 год характеризуются следующими показателями: доходы исполнены в сумме </w:t>
      </w:r>
      <w:r w:rsidRPr="00CD2981">
        <w:rPr>
          <w:rFonts w:ascii="Times New Roman" w:hAnsi="Times New Roman" w:cs="Times New Roman"/>
          <w:sz w:val="28"/>
          <w:szCs w:val="28"/>
        </w:rPr>
        <w:t xml:space="preserve">30 011,78 тыс. рублей или 93,65 % от уточненного плана; </w:t>
      </w:r>
      <w:r w:rsidRPr="00AC06D7">
        <w:rPr>
          <w:rFonts w:ascii="Times New Roman" w:hAnsi="Times New Roman" w:cs="Times New Roman"/>
          <w:sz w:val="28"/>
          <w:szCs w:val="28"/>
        </w:rPr>
        <w:t xml:space="preserve">расходы исполнены в </w:t>
      </w:r>
      <w:r w:rsidRPr="00CD2981">
        <w:rPr>
          <w:rFonts w:ascii="Times New Roman" w:hAnsi="Times New Roman" w:cs="Times New Roman"/>
          <w:sz w:val="28"/>
          <w:szCs w:val="28"/>
        </w:rPr>
        <w:t xml:space="preserve">сумме 30 451,19 тыс. рублей или 85,47 % от уточненного плана.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06D7">
        <w:rPr>
          <w:rFonts w:ascii="Times New Roman" w:hAnsi="Times New Roman" w:cs="Times New Roman"/>
          <w:sz w:val="16"/>
          <w:szCs w:val="16"/>
        </w:rPr>
        <w:t>Таблица 1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06D7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42" w:type="pct"/>
        <w:jc w:val="center"/>
        <w:tblLayout w:type="fixed"/>
        <w:tblLook w:val="04A0"/>
      </w:tblPr>
      <w:tblGrid>
        <w:gridCol w:w="1289"/>
        <w:gridCol w:w="1081"/>
        <w:gridCol w:w="1404"/>
        <w:gridCol w:w="1100"/>
        <w:gridCol w:w="1098"/>
        <w:gridCol w:w="1122"/>
        <w:gridCol w:w="1101"/>
        <w:gridCol w:w="984"/>
      </w:tblGrid>
      <w:tr w:rsidR="004C519F" w:rsidRPr="00AC06D7" w:rsidTr="002D1F1F">
        <w:trPr>
          <w:trHeight w:val="194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(гр.3-гр.2</w:t>
            </w: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(гр.6-гр.5</w:t>
            </w: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%</w:t>
            </w:r>
          </w:p>
        </w:tc>
      </w:tr>
      <w:tr w:rsidR="004C519F" w:rsidRPr="00AC06D7" w:rsidTr="002D1F1F">
        <w:trPr>
          <w:trHeight w:val="149"/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C06D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соответствии с решением Совета депутатов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AC06D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от 28.12.2017 № 40 </w:t>
            </w: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2"/>
                <w:szCs w:val="12"/>
              </w:rPr>
              <w:t>(с изменениями)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по результатам проверки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519F" w:rsidRPr="00AC06D7" w:rsidTr="002D1F1F">
        <w:trPr>
          <w:trHeight w:val="18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C519F" w:rsidRPr="00AC06D7" w:rsidTr="002D1F1F">
        <w:trPr>
          <w:trHeight w:val="19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32 048,02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85E28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E28">
              <w:rPr>
                <w:rFonts w:ascii="Times New Roman" w:hAnsi="Times New Roman" w:cs="Times New Roman"/>
                <w:sz w:val="18"/>
                <w:szCs w:val="18"/>
              </w:rPr>
              <w:t>30 543,50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8B4713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B4713">
              <w:rPr>
                <w:rFonts w:ascii="Times New Roman" w:hAnsi="Times New Roman" w:cs="Times New Roman"/>
                <w:sz w:val="18"/>
                <w:szCs w:val="18"/>
              </w:rPr>
              <w:t>1 504,52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30 011,78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30 011,78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92,93</w:t>
            </w:r>
          </w:p>
        </w:tc>
      </w:tr>
      <w:tr w:rsidR="004C519F" w:rsidRPr="00AC06D7" w:rsidTr="002D1F1F">
        <w:trPr>
          <w:trHeight w:val="18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35 628,00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85E28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E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E28">
              <w:rPr>
                <w:rFonts w:ascii="Times New Roman" w:hAnsi="Times New Roman" w:cs="Times New Roman"/>
                <w:sz w:val="18"/>
                <w:szCs w:val="18"/>
              </w:rPr>
              <w:t>123,50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8B4713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B4713">
              <w:rPr>
                <w:rFonts w:ascii="Times New Roman" w:hAnsi="Times New Roman" w:cs="Times New Roman"/>
                <w:sz w:val="18"/>
                <w:szCs w:val="18"/>
              </w:rPr>
              <w:t>1 504,50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30 451,19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30 451,19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85,47</w:t>
            </w:r>
          </w:p>
        </w:tc>
      </w:tr>
      <w:tr w:rsidR="004C519F" w:rsidRPr="00AC06D7" w:rsidTr="002D1F1F">
        <w:trPr>
          <w:trHeight w:val="194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-3 580,00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-3 580,00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8B4713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-439,41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-439,41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F" w:rsidRPr="00CD2981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F" w:rsidRPr="00AC06D7" w:rsidRDefault="004C519F" w:rsidP="004C519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AC06D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4C519F" w:rsidRPr="00595F45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F45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решение Совета депутатов сельского поселения Кедровый от 28.12.2017 № 40 «О бюджете сельского поселения Кедровый на 2018 год и плановый период 2019 и 2020 годов»,                  </w:t>
      </w:r>
      <w:r w:rsidRPr="00595F45">
        <w:rPr>
          <w:rFonts w:ascii="Times New Roman" w:hAnsi="Times New Roman" w:cs="Times New Roman"/>
          <w:sz w:val="28"/>
          <w:szCs w:val="28"/>
        </w:rPr>
        <w:lastRenderedPageBreak/>
        <w:t xml:space="preserve">с последними изменениями от 07.06.2018 № 22 «О внесении изменений                      в решение Совета депутатов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 xml:space="preserve">от 28.12.2017 № 40 «О бюджете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>на 2018 год и плановый период 2019 и 2020</w:t>
      </w:r>
      <w:proofErr w:type="gramEnd"/>
      <w:r w:rsidRPr="00595F45">
        <w:rPr>
          <w:rFonts w:ascii="Times New Roman" w:hAnsi="Times New Roman" w:cs="Times New Roman"/>
          <w:sz w:val="28"/>
          <w:szCs w:val="28"/>
        </w:rPr>
        <w:t xml:space="preserve"> годов» (письмо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 xml:space="preserve">от 24.04.2019 № 29 Совета депутатов сельского поселения </w:t>
      </w:r>
      <w:proofErr w:type="gramStart"/>
      <w:r w:rsidRPr="00595F4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595F45">
        <w:rPr>
          <w:rFonts w:ascii="Times New Roman" w:hAnsi="Times New Roman" w:cs="Times New Roman"/>
          <w:sz w:val="28"/>
          <w:szCs w:val="28"/>
        </w:rPr>
        <w:t>).</w:t>
      </w:r>
    </w:p>
    <w:p w:rsidR="004C519F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 w:rsidRPr="00595F45">
        <w:rPr>
          <w:rFonts w:ascii="Times New Roman" w:hAnsi="Times New Roman" w:cs="Times New Roman"/>
          <w:sz w:val="28"/>
          <w:szCs w:val="28"/>
        </w:rPr>
        <w:t>не представляется возможным установить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, полноту и соответствие </w:t>
      </w:r>
      <w:r w:rsidRPr="00595F45">
        <w:rPr>
          <w:rFonts w:ascii="Times New Roman" w:hAnsi="Times New Roman" w:cs="Times New Roman"/>
          <w:sz w:val="28"/>
          <w:szCs w:val="28"/>
        </w:rPr>
        <w:t>годового отчета об исполнении бюджета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F45">
        <w:rPr>
          <w:rFonts w:ascii="Times New Roman" w:hAnsi="Times New Roman" w:cs="Times New Roman"/>
          <w:sz w:val="28"/>
          <w:szCs w:val="28"/>
        </w:rPr>
        <w:t xml:space="preserve"> предоставленному решению Совета депутатов сельского поселения Кедровый</w:t>
      </w:r>
      <w:r w:rsidRPr="004F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>от 28.12.2017 №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45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595F45">
        <w:rPr>
          <w:rFonts w:ascii="Times New Roman" w:hAnsi="Times New Roman" w:cs="Times New Roman"/>
          <w:sz w:val="28"/>
          <w:szCs w:val="28"/>
        </w:rPr>
        <w:t>.</w:t>
      </w:r>
    </w:p>
    <w:p w:rsidR="004C519F" w:rsidRPr="00AC06D7" w:rsidRDefault="004C519F" w:rsidP="004C51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60DBC">
        <w:rPr>
          <w:rFonts w:ascii="Times New Roman" w:hAnsi="Times New Roman" w:cs="Times New Roman"/>
          <w:bCs/>
          <w:i/>
          <w:sz w:val="28"/>
          <w:szCs w:val="28"/>
        </w:rPr>
        <w:t>Принцип полноты отражения доходов, расходов и источников финансирования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60DBC">
        <w:rPr>
          <w:rFonts w:ascii="Times New Roman" w:hAnsi="Times New Roman" w:cs="Times New Roman"/>
          <w:bCs/>
          <w:i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i/>
          <w:sz w:val="28"/>
          <w:szCs w:val="28"/>
        </w:rPr>
        <w:t>а бюджета</w:t>
      </w:r>
      <w:r w:rsidRPr="00AC06D7">
        <w:rPr>
          <w:rFonts w:ascii="Times New Roman" w:hAnsi="Times New Roman" w:cs="Times New Roman"/>
          <w:i/>
          <w:sz w:val="28"/>
          <w:szCs w:val="28"/>
        </w:rPr>
        <w:t>, предусмотренный                  статьей 3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C06D7">
        <w:rPr>
          <w:rFonts w:ascii="Times New Roman" w:hAnsi="Times New Roman" w:cs="Times New Roman"/>
          <w:i/>
          <w:sz w:val="28"/>
          <w:szCs w:val="28"/>
        </w:rPr>
        <w:t xml:space="preserve"> Бюджетного кодекса Российской Федерации не соблюден.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F45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доходной</w:t>
      </w:r>
      <w:r w:rsidRPr="00AC06D7">
        <w:rPr>
          <w:rFonts w:ascii="Times New Roman" w:hAnsi="Times New Roman" w:cs="Times New Roman"/>
          <w:sz w:val="28"/>
          <w:szCs w:val="28"/>
          <w:u w:val="single"/>
        </w:rPr>
        <w:t xml:space="preserve"> части бюджета сельского поселения </w:t>
      </w:r>
      <w:proofErr w:type="gramStart"/>
      <w:r w:rsidRPr="00AC06D7">
        <w:rPr>
          <w:rFonts w:ascii="Times New Roman" w:hAnsi="Times New Roman" w:cs="Times New Roman"/>
          <w:sz w:val="28"/>
          <w:szCs w:val="28"/>
          <w:u w:val="single"/>
        </w:rPr>
        <w:t>Кедровый</w:t>
      </w:r>
      <w:proofErr w:type="gramEnd"/>
      <w:r w:rsidRPr="00AC06D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C519F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Исполнение бюджета сельского поселения по доходам                          за 2017 и 2018 годы представлено в Таблице 2. 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C06D7">
        <w:rPr>
          <w:rFonts w:ascii="Times New Roman" w:hAnsi="Times New Roman" w:cs="Times New Roman"/>
          <w:sz w:val="18"/>
          <w:szCs w:val="18"/>
        </w:rPr>
        <w:t>Таблица 2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06D7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166" w:type="dxa"/>
        <w:tblInd w:w="93" w:type="dxa"/>
        <w:tblLook w:val="04A0"/>
      </w:tblPr>
      <w:tblGrid>
        <w:gridCol w:w="1609"/>
        <w:gridCol w:w="910"/>
        <w:gridCol w:w="674"/>
        <w:gridCol w:w="1147"/>
        <w:gridCol w:w="983"/>
        <w:gridCol w:w="677"/>
        <w:gridCol w:w="1176"/>
        <w:gridCol w:w="1175"/>
        <w:gridCol w:w="815"/>
      </w:tblGrid>
      <w:tr w:rsidR="004C519F" w:rsidRPr="00AC06D7" w:rsidTr="002D1F1F">
        <w:trPr>
          <w:trHeight w:val="22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Отклонение факта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2018 года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факта 2017 года, тыс. рублей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Темп </w:t>
            </w:r>
            <w:proofErr w:type="spellStart"/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роста,%</w:t>
            </w:r>
            <w:proofErr w:type="spellEnd"/>
          </w:p>
        </w:tc>
      </w:tr>
      <w:tr w:rsidR="004C519F" w:rsidRPr="00AC06D7" w:rsidTr="002D1F1F">
        <w:trPr>
          <w:trHeight w:val="225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519F" w:rsidRPr="00AC06D7" w:rsidTr="002D1F1F">
        <w:trPr>
          <w:trHeight w:val="855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519F" w:rsidRPr="00AC06D7" w:rsidTr="002D1F1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C519F" w:rsidRPr="00AC06D7" w:rsidTr="002D1F1F"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32043,18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32048,02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30011,78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-2031,40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93,66</w:t>
            </w:r>
          </w:p>
        </w:tc>
      </w:tr>
      <w:tr w:rsidR="004C519F" w:rsidRPr="00AC06D7" w:rsidTr="002D1F1F">
        <w:trPr>
          <w:trHeight w:val="70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6086,05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5766,50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7280,04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1193,99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119,62</w:t>
            </w:r>
          </w:p>
        </w:tc>
      </w:tr>
      <w:tr w:rsidR="004C519F" w:rsidRPr="00AC06D7" w:rsidTr="002D1F1F">
        <w:trPr>
          <w:trHeight w:val="5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5599,71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5543,50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7097,28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1497,57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126,74</w:t>
            </w:r>
          </w:p>
        </w:tc>
      </w:tr>
      <w:tr w:rsidR="004C519F" w:rsidRPr="00AC06D7" w:rsidTr="002D1F1F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2466,12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3823,55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354A66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4A6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147,06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155,04</w:t>
            </w:r>
          </w:p>
        </w:tc>
      </w:tr>
      <w:tr w:rsidR="004C519F" w:rsidRPr="00AC06D7" w:rsidTr="002D1F1F">
        <w:trPr>
          <w:trHeight w:val="9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2689,76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2897,91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107,74</w:t>
            </w:r>
          </w:p>
        </w:tc>
      </w:tr>
      <w:tr w:rsidR="004C519F" w:rsidRPr="00AC06D7" w:rsidTr="002D1F1F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C519F" w:rsidRPr="00AC06D7" w:rsidTr="002D1F1F">
        <w:trPr>
          <w:trHeight w:val="11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84,98</w:t>
            </w:r>
          </w:p>
        </w:tc>
      </w:tr>
      <w:tr w:rsidR="004C519F" w:rsidRPr="00AC06D7" w:rsidTr="002D1F1F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79,98</w:t>
            </w:r>
          </w:p>
        </w:tc>
      </w:tr>
      <w:tr w:rsidR="004C519F" w:rsidRPr="00AC06D7" w:rsidTr="002D1F1F">
        <w:trPr>
          <w:trHeight w:val="4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486,34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-303,58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37,58</w:t>
            </w:r>
          </w:p>
        </w:tc>
      </w:tr>
      <w:tr w:rsidR="004C519F" w:rsidRPr="00AC06D7" w:rsidTr="002D1F1F">
        <w:trPr>
          <w:trHeight w:val="157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-175,93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45,97</w:t>
            </w:r>
          </w:p>
        </w:tc>
      </w:tr>
      <w:tr w:rsidR="004C519F" w:rsidRPr="00AC06D7" w:rsidTr="002D1F1F">
        <w:trPr>
          <w:trHeight w:val="9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-158,48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C519F" w:rsidRPr="00AC06D7" w:rsidTr="002D1F1F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1482,51</w:t>
            </w:r>
          </w:p>
        </w:tc>
      </w:tr>
      <w:tr w:rsidR="004C519F" w:rsidRPr="00AC06D7" w:rsidTr="002D1F1F">
        <w:trPr>
          <w:trHeight w:val="55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поступления,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25957,13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26281,52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22731,74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-3225,39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87,57</w:t>
            </w:r>
          </w:p>
        </w:tc>
      </w:tr>
      <w:tr w:rsidR="004C519F" w:rsidRPr="00AC06D7" w:rsidTr="002D1F1F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21728,90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19877,60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-1851,30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91,48</w:t>
            </w:r>
          </w:p>
        </w:tc>
      </w:tr>
      <w:tr w:rsidR="004C519F" w:rsidRPr="00AC06D7" w:rsidTr="002D1F1F"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84,15</w:t>
            </w:r>
          </w:p>
        </w:tc>
      </w:tr>
      <w:tr w:rsidR="004C519F" w:rsidRPr="00AC06D7" w:rsidTr="002D1F1F">
        <w:trPr>
          <w:trHeight w:val="4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4008,03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6218,63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2668,85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-1339,18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66,59</w:t>
            </w:r>
          </w:p>
        </w:tc>
      </w:tr>
    </w:tbl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519F" w:rsidRDefault="004C519F" w:rsidP="004C51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сельского поселения (форма 0503117) отражены плановые назначения в части доходов – 32 048,02 тыс. рублей, что не соответствует решению Совета депутатов сельского поселения Кедровый от 28.12.2017 № 40 «О бюджете сельского поселения Кедровый на 2018 год и плановый период                        2019 и 2020 годов», с последующими изменениями и дополнениями.</w:t>
      </w:r>
      <w:proofErr w:type="gramEnd"/>
    </w:p>
    <w:p w:rsidR="004C519F" w:rsidRDefault="004C519F" w:rsidP="004C51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доходной части бюджета за 2018 год, согласно отчету об исполнении бюджета (форма 0503117), составило 30 011,78 тыс. рублей.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Согласно данным годового отчета бюджет поселения по доходам исполнен за 2018 год в сумме 30 011,78 тыс. рублей, в том числе: налоговые и неналоговые доходы в сумме 7 280,04 тыс. рублей,         безвозмездные поступления в сумме 22 731,74 тыс. рублей. Доходы бюджета поселения исполнены на 93,65 % от уточненного плана,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06D7">
        <w:rPr>
          <w:rFonts w:ascii="Times New Roman" w:hAnsi="Times New Roman" w:cs="Times New Roman"/>
          <w:sz w:val="28"/>
          <w:szCs w:val="28"/>
        </w:rPr>
        <w:t>в том числе: налоговые и неналоговые доходы на 126,25 %, безвозмездные поступления на 86,49 %.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По сравнению с 2017 годом исполнение бюджета по доходам уменьшилось на 2 031,40 тыс. рублей или 6,34 %, при этом налоговые                    и неналоговые доходы увеличились на 1 193,99 тыс. рублей                           или 19,62 %, в части безвозмездных поступлений отмечается снижение                   на 3 225,39 тыс. рублей или на 12,43 %.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В структуре доходных источников возросла доля собственных доходов (с 18,99 % до 24,26 %), сократилась доля безвозмездных поступлений (с 81,01 %  до 75,74 %).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06D7">
        <w:rPr>
          <w:rFonts w:ascii="Times New Roman" w:hAnsi="Times New Roman" w:cs="Times New Roman"/>
          <w:bCs/>
          <w:sz w:val="28"/>
          <w:szCs w:val="28"/>
        </w:rPr>
        <w:t xml:space="preserve">В структуре доходов бюджета поселения в 2018 году доля налоговых              и неналоговых доходов в общем объеме доходов поселения составила                   24,26 % или 7 280,04 тыс. рублей (в том числе доля налоговых доходов                 в общем объеме исполненных доходов составила 23,65 %                             </w:t>
      </w:r>
      <w:r w:rsidRPr="00AC06D7">
        <w:rPr>
          <w:rFonts w:ascii="Times New Roman" w:hAnsi="Times New Roman" w:cs="Times New Roman"/>
          <w:bCs/>
          <w:sz w:val="28"/>
          <w:szCs w:val="28"/>
        </w:rPr>
        <w:lastRenderedPageBreak/>
        <w:t>или 7 097,28 тыс. рублей, доля неналоговых доходов составила 0,61 %             или 182,76 тыс. рублей).</w:t>
      </w:r>
      <w:proofErr w:type="gramEnd"/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</w:t>
      </w:r>
      <w:r>
        <w:rPr>
          <w:rFonts w:ascii="Times New Roman" w:hAnsi="Times New Roman" w:cs="Times New Roman"/>
          <w:bCs/>
          <w:sz w:val="28"/>
          <w:szCs w:val="28"/>
        </w:rPr>
        <w:t>12,74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% в общем объеме исполненных доходов составляет налог на прибыль, доходы 3 823,55 тыс. рублей                           с исполнением  147,06 % от годового уточненного плана.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Поступления по налогам </w:t>
      </w:r>
      <w:r w:rsidRPr="00AC06D7">
        <w:rPr>
          <w:rFonts w:ascii="Times New Roman" w:hAnsi="Times New Roman" w:cs="Times New Roman"/>
          <w:bCs/>
          <w:sz w:val="28"/>
          <w:szCs w:val="28"/>
        </w:rPr>
        <w:t>на прибыль, доходы</w:t>
      </w:r>
      <w:r w:rsidRPr="00AC06D7">
        <w:rPr>
          <w:rFonts w:ascii="Times New Roman" w:hAnsi="Times New Roman" w:cs="Times New Roman"/>
          <w:sz w:val="28"/>
          <w:szCs w:val="28"/>
        </w:rPr>
        <w:t xml:space="preserve">, в 2018 году увеличились на 1 357,43 тыс. рублей к аналогичному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06D7">
        <w:rPr>
          <w:rFonts w:ascii="Times New Roman" w:hAnsi="Times New Roman" w:cs="Times New Roman"/>
          <w:sz w:val="28"/>
          <w:szCs w:val="28"/>
        </w:rPr>
        <w:t>2017 года.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Налоги на </w:t>
      </w:r>
      <w:r w:rsidRPr="00AC06D7">
        <w:rPr>
          <w:rFonts w:ascii="Times New Roman" w:hAnsi="Times New Roman" w:cs="Times New Roman"/>
          <w:color w:val="000000"/>
          <w:sz w:val="28"/>
          <w:szCs w:val="28"/>
        </w:rPr>
        <w:t>товары (работы, услуги), реализуемые на территории РФ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        в 2018 году исполнены в объеме 2 897,91 тыс. рублей                                                 или 117,58 % от годового уточненного плана; к аналогичному показателю    2017 года отмечается увеличение на 208,15 тыс. рублей или 7,74 %.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Налоги на совокупный доход в 2018 году не исполнены в объеме                    5,00 тыс. рублей от уточненного плана.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Налоги на имущество (налог на имущество физических лиц, земельный налог) в 2018 году исполнены в объеме 354,17 тыс. рублей                  или 85,57 % от годового уточненного плана; к аналогичному показателю    2017 года отмечается снижение на 62,59 тыс. рублей или 15,02 %.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Государственная пошлина в 2018 году исполнена в объеме                          21,65 тыс. рублей или 36,08 % от уточненного плана. К аналогичному показателю 2017 года отмечается снижение на 5,42 тыс. рублей                             или 20,02 %.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Неналоговые доходы в 2018 году исполнены в объеме                         182,76 тыс. рублей или 81,96 % от уточненного плана.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  в государственной и муниципальной собственности 0,50 %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или 149,70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ыс. рублей или 83,17 % от уточненного плана. К аналогичному показателю 2017 года отмечается снижение данных доходов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C06D7">
        <w:rPr>
          <w:rFonts w:ascii="Times New Roman" w:hAnsi="Times New Roman" w:cs="Times New Roman"/>
          <w:bCs/>
          <w:sz w:val="28"/>
          <w:szCs w:val="28"/>
        </w:rPr>
        <w:t>на 175,93 тыс. рублей или 54,03 %.</w:t>
      </w:r>
    </w:p>
    <w:p w:rsidR="004C519F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Доходы от оказания платных услуг (работ) и компенсации затрат государства в 2018 году не исполнены в объеме 43,00 тыс. рублей                         от уточненного плана.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Прочие неналоговые доходы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в 2018 году исполнен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в объеме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33,06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8A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от уточненного плана. К аналогичному показателю 2017 года отмечается </w:t>
      </w:r>
      <w:r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30,83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в 15 раз (1 482,51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C06D7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06D7">
        <w:rPr>
          <w:rFonts w:ascii="Times New Roman" w:hAnsi="Times New Roman" w:cs="Times New Roman"/>
          <w:bCs/>
          <w:sz w:val="28"/>
          <w:szCs w:val="28"/>
        </w:rPr>
        <w:t>В структуре доходов бюджета поселения в 2018 году доля безвозмездных поступлений в общем объеме доходов поселения составила 75,74 % или 22 731,74 тыс. рублей (в том числе доля дотаций в общем объеме поступлений составила 66,23 % или 19 877,60 тыс. рублей, доля субвенций 0,62 % или 185,29 тыс. рублей, доля иных межбюджетных трансфертов составила 8,89 % или 2 668,85 тыс. рублей).</w:t>
      </w:r>
      <w:proofErr w:type="gramEnd"/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К аналогичному показателю 2017 года отмечается снижение безвозмездных поступлений на 3 225,39 тыс. рублей или 12,43 %.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в 2018 году в разрезе разделов бюджетной классификации представлено в Таблице 3.      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C06D7">
        <w:rPr>
          <w:rFonts w:ascii="Times New Roman" w:hAnsi="Times New Roman" w:cs="Times New Roman"/>
          <w:sz w:val="18"/>
          <w:szCs w:val="18"/>
        </w:rPr>
        <w:t>Таблица 3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06D7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5" w:type="dxa"/>
        <w:tblInd w:w="95" w:type="dxa"/>
        <w:tblLook w:val="04A0"/>
      </w:tblPr>
      <w:tblGrid>
        <w:gridCol w:w="2440"/>
        <w:gridCol w:w="1880"/>
        <w:gridCol w:w="1880"/>
        <w:gridCol w:w="1480"/>
        <w:gridCol w:w="1405"/>
      </w:tblGrid>
      <w:tr w:rsidR="004C519F" w:rsidRPr="00AC06D7" w:rsidTr="002D1F1F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на 2018 год, тыс.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за 2018 год,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(+/-), </w:t>
            </w:r>
            <w:proofErr w:type="gramEnd"/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4C519F" w:rsidRPr="00AC06D7" w:rsidTr="002D1F1F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13879,28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C519F" w:rsidRPr="00AC06D7" w:rsidTr="002D1F1F">
        <w:trPr>
          <w:trHeight w:val="60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94,92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3812,78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-1589,49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58,31</w:t>
            </w:r>
          </w:p>
        </w:tc>
      </w:tr>
      <w:tr w:rsidR="004C519F" w:rsidRPr="00AC06D7" w:rsidTr="002D1F1F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5907,69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-3365,58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43,03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99,43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10171,65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99,73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C519F" w:rsidRPr="00AC06D7" w:rsidTr="002D1F1F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-116,45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70,60</w:t>
            </w:r>
          </w:p>
        </w:tc>
      </w:tr>
      <w:tr w:rsidR="004C519F" w:rsidRPr="00AC06D7" w:rsidTr="002D1F1F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30451,1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-5176,8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F" w:rsidRPr="00AC06D7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6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85,47</w:t>
            </w:r>
          </w:p>
        </w:tc>
      </w:tr>
    </w:tbl>
    <w:p w:rsidR="004C519F" w:rsidRPr="00AC06D7" w:rsidRDefault="004C519F" w:rsidP="004C519F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ab/>
      </w:r>
    </w:p>
    <w:p w:rsidR="004C519F" w:rsidRDefault="004C519F" w:rsidP="004C51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Кедровый                    от 28.12.2017 № 40 «О бюджете сельского поселения Кедровый                     на 2018 год и плановый период 2019 и 2020 годов», с последующими изменениями и дополнениями, расходы бюджета на 2018 год установлены в </w:t>
      </w:r>
      <w:r w:rsidRPr="00BB6684">
        <w:rPr>
          <w:rFonts w:ascii="Times New Roman" w:hAnsi="Times New Roman" w:cs="Times New Roman"/>
          <w:sz w:val="28"/>
          <w:szCs w:val="28"/>
        </w:rPr>
        <w:t>размере 34 123,50 тыс. рублей.</w:t>
      </w:r>
    </w:p>
    <w:p w:rsidR="004C519F" w:rsidRPr="00B27E2E" w:rsidRDefault="004C519F" w:rsidP="004C51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2E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сельского поселения (форма 0503117) отражены плановые назначения в части расходов – 35 628,00 тыс. рублей, что не соответствует решению Совета депутатов сельского поселения Кедровый от 28.12.2017 № 40 «О бюджете сельского поселения Кедровый на 2018 год и плановый период                        2019 и 2020 годов», с последующими изменениями и дополнениями.</w:t>
      </w:r>
      <w:proofErr w:type="gramEnd"/>
    </w:p>
    <w:p w:rsidR="004C519F" w:rsidRPr="00C55CAF" w:rsidRDefault="004C519F" w:rsidP="004C51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2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за 2018 год, согласно отчету об исполнении бюджета (форма 0503117), составило 30 451,18 тыс. рублей.</w:t>
      </w:r>
    </w:p>
    <w:p w:rsidR="004C519F" w:rsidRDefault="004C519F" w:rsidP="004C519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2017-2018 годы представлена в Таблице 4.</w:t>
      </w:r>
    </w:p>
    <w:p w:rsidR="004C519F" w:rsidRDefault="004C519F" w:rsidP="004C519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9F" w:rsidRDefault="004C519F" w:rsidP="004C519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AC06D7">
        <w:rPr>
          <w:rFonts w:ascii="Times New Roman" w:hAnsi="Times New Roman" w:cs="Times New Roman"/>
          <w:sz w:val="18"/>
          <w:szCs w:val="18"/>
        </w:rPr>
        <w:t>Таблица 4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C06D7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971"/>
        <w:gridCol w:w="1094"/>
        <w:gridCol w:w="1151"/>
        <w:gridCol w:w="1018"/>
        <w:gridCol w:w="1094"/>
        <w:gridCol w:w="1076"/>
        <w:gridCol w:w="1090"/>
      </w:tblGrid>
      <w:tr w:rsidR="004C519F" w:rsidRPr="00FB02C3" w:rsidTr="002D1F1F">
        <w:trPr>
          <w:trHeight w:val="225"/>
        </w:trPr>
        <w:tc>
          <w:tcPr>
            <w:tcW w:w="700" w:type="dxa"/>
            <w:vMerge w:val="restart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971" w:type="dxa"/>
            <w:vMerge w:val="restart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3" w:type="dxa"/>
            <w:gridSpan w:val="3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</w:tr>
      <w:tr w:rsidR="004C519F" w:rsidRPr="00FB02C3" w:rsidTr="002D1F1F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2017 год, тыс. рублей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2018 год, тыс. рублей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14578,44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13817,13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45,37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</w:tr>
      <w:tr w:rsidR="004C519F" w:rsidRPr="00FB02C3" w:rsidTr="002D1F1F">
        <w:trPr>
          <w:trHeight w:val="49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167,70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201,74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94,92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2108,68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2223,29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58,31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7,30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3579,48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54,94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2542,11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43,03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8,35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667,31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867,33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99,43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2,85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9565,97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92,62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30,42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10144,30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99,73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33,31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88,67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210,33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</w:tr>
      <w:tr w:rsidR="004C519F" w:rsidRPr="00FB02C3" w:rsidTr="002D1F1F">
        <w:trPr>
          <w:trHeight w:val="225"/>
        </w:trPr>
        <w:tc>
          <w:tcPr>
            <w:tcW w:w="70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472,52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82,90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279,66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70,60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0,92</w:t>
            </w:r>
          </w:p>
        </w:tc>
      </w:tr>
      <w:tr w:rsidR="004C519F" w:rsidRPr="00FB02C3" w:rsidTr="002D1F1F">
        <w:trPr>
          <w:trHeight w:val="315"/>
        </w:trPr>
        <w:tc>
          <w:tcPr>
            <w:tcW w:w="2671" w:type="dxa"/>
            <w:gridSpan w:val="2"/>
            <w:vAlign w:val="center"/>
            <w:hideMark/>
          </w:tcPr>
          <w:p w:rsidR="004C519F" w:rsidRPr="00FB02C3" w:rsidRDefault="004C519F" w:rsidP="004C519F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31449,30</w:t>
            </w:r>
          </w:p>
        </w:tc>
        <w:tc>
          <w:tcPr>
            <w:tcW w:w="1151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83,94</w:t>
            </w:r>
          </w:p>
        </w:tc>
        <w:tc>
          <w:tcPr>
            <w:tcW w:w="1018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4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30451,1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85,47</w:t>
            </w:r>
          </w:p>
        </w:tc>
        <w:tc>
          <w:tcPr>
            <w:tcW w:w="1090" w:type="dxa"/>
            <w:vAlign w:val="center"/>
            <w:hideMark/>
          </w:tcPr>
          <w:p w:rsidR="004C519F" w:rsidRPr="00FB02C3" w:rsidRDefault="004C519F" w:rsidP="004C5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2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C519F" w:rsidRPr="00AC06D7" w:rsidRDefault="004C519F" w:rsidP="004C519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ab/>
      </w:r>
    </w:p>
    <w:p w:rsidR="004C519F" w:rsidRPr="00AC06D7" w:rsidRDefault="004C519F" w:rsidP="004C519F">
      <w:pPr>
        <w:tabs>
          <w:tab w:val="left" w:pos="72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06D7">
        <w:rPr>
          <w:rFonts w:ascii="Times New Roman" w:hAnsi="Times New Roman" w:cs="Times New Roman"/>
          <w:sz w:val="28"/>
          <w:szCs w:val="28"/>
        </w:rPr>
        <w:t>В сравнении с уровнем 2017 года расходы бюджета сельского поселения в 2018 году снизились на 998,1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6D7">
        <w:rPr>
          <w:rFonts w:ascii="Times New Roman" w:hAnsi="Times New Roman" w:cs="Times New Roman"/>
          <w:sz w:val="28"/>
          <w:szCs w:val="28"/>
        </w:rPr>
        <w:t xml:space="preserve"> тыс. рублей, при этом отмечается увеличение процента исполнения бюджета по расходам                                            (с 83,94 %  до 85,47 %).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06D7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общегосударственные вопросы – 45,37 % (в 2017 году                        –    46,36 %), культура и кинематография – 33,31 % (в 2017 году – 30,42 %),                       жилищно-коммунальное хозяйство – 8,35 % (в 2017 году – 11,38 %).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01 00 «Общегосударственные вопросы» расходы исполнены в сумме 13 817,13 тыс. рублей или 99,55 %  к плановым назначениям (в 2017 году – 14 578,44 тыс. рублей или 98,82 %).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02 00 «Национальная оборона» расходы исполнены                   в сумме 163,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AC06D7">
        <w:rPr>
          <w:rFonts w:ascii="Times New Roman" w:hAnsi="Times New Roman" w:cs="Times New Roman"/>
          <w:sz w:val="28"/>
          <w:szCs w:val="28"/>
        </w:rPr>
        <w:t xml:space="preserve"> тыс. рублей или 100 % (в 2017 году – 189,20 тыс. рублей или 100 %).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03 00 «Национальная безопасность и правоохранительная деятельность» расходы исполнены в сумме 201,74 тыс. рублей                            или 94,92 % (в 2017 году – 167,70 тыс. рублей или 100 %).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</w:t>
      </w:r>
      <w:r>
        <w:rPr>
          <w:rFonts w:ascii="Times New Roman" w:hAnsi="Times New Roman" w:cs="Times New Roman"/>
          <w:sz w:val="28"/>
          <w:szCs w:val="28"/>
        </w:rPr>
        <w:t xml:space="preserve">               в сумме 2 223,29 </w:t>
      </w:r>
      <w:r w:rsidRPr="00AC06D7">
        <w:rPr>
          <w:rFonts w:ascii="Times New Roman" w:hAnsi="Times New Roman" w:cs="Times New Roman"/>
          <w:sz w:val="28"/>
          <w:szCs w:val="28"/>
        </w:rPr>
        <w:t>тыс. рублей или 58,31 % (в 2017 году                                            – 2 108,68 тыс. рублей или 50,99 %).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05 00 «Жилищно-коммунальное хозяйство» расходы исполнены в сумме 2 542,11 тыс. рублей или 43,03 % (в 2017 году                             – 3 579,48 тыс. рублей или 54,94 %).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ab/>
        <w:t>По разделу 06 00 «Охрана окружающей среды» исполнены в сумме 1,70 тыс. рублей или 100 % (в 2017 году расходы по данному разделу отсутствовали).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07 00 «Образование» расходы исполнены в сумме               867,33 тыс. рублей или 99,43 % (в 2017 году – 667,31 тыс. рублей                      или 99,10 %).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08 00 «Культура и кинематография» расходы исполнены                в сумме 10 144,30 тыс. рублей или 99,73 % (в 2017 году                                           – 9 565,97 тыс. рублей или 92,62 %).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lastRenderedPageBreak/>
        <w:t>По разделу 10 00 «Социальная политика» расходы исполнены                     в сумме 210,33 тыс. рублей или 100 % (в 2017 году – 120,00 тыс. рублей или 88,67 %).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 разделу 11 00 «Физическая культура и спорт» расходы исполнены              в сумме 279,66 тыс. рублей или 70,60 % (в 2017 году – 472,52 тыс. рублей или 82,90 %).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Отмечается низкое исполнение бюджета сельского поселения в части расходов: жилищно-коммунальное хозяйство, национальная экономика, физическая культура и спорт, при этом причины неисполнения бюджета                в части данных расходов в пояснительной записке не отражены.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AC06D7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AC06D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06D7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контрольно-счетную палату                      Ханты-Мансийского района в составе форм бюджетной отчетности,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</w:t>
      </w:r>
      <w:r w:rsidRPr="00382791">
        <w:rPr>
          <w:rFonts w:ascii="Times New Roman" w:hAnsi="Times New Roman" w:cs="Times New Roman"/>
          <w:sz w:val="28"/>
          <w:szCs w:val="28"/>
        </w:rPr>
        <w:t>от 28.02.2019</w:t>
      </w:r>
      <w:r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годовой, квартальной и месячной отчётности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бюджетной системы Российской Федерации»</w:t>
      </w:r>
      <w:r w:rsidRPr="00AC0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C06D7">
        <w:rPr>
          <w:rFonts w:ascii="Times New Roman" w:eastAsia="Calibri" w:hAnsi="Times New Roman" w:cs="Times New Roman"/>
          <w:sz w:val="28"/>
          <w:szCs w:val="28"/>
        </w:rPr>
        <w:t>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</w:t>
      </w:r>
      <w:proofErr w:type="gramEnd"/>
      <w:r w:rsidRPr="00AC06D7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дефицита бюджета, главного администратора, администратора доходов бюджета.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06D7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4C519F" w:rsidRDefault="004C519F" w:rsidP="004C5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представленного отчёта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утверждённые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показатели, отражённые в отчёте</w:t>
      </w:r>
      <w:r w:rsidRPr="00E44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C06D7">
        <w:rPr>
          <w:rFonts w:ascii="Times New Roman" w:hAnsi="Times New Roman" w:cs="Times New Roman"/>
          <w:bCs/>
          <w:sz w:val="28"/>
          <w:szCs w:val="28"/>
        </w:rPr>
        <w:t>об исполнении бюджета (ф. 0503117)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показателям,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</w:t>
      </w:r>
      <w:r w:rsidRPr="00595F4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5F4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Кедровый</w:t>
      </w:r>
      <w:r w:rsidRPr="004F3159">
        <w:rPr>
          <w:rFonts w:ascii="Times New Roman" w:hAnsi="Times New Roman" w:cs="Times New Roman"/>
          <w:sz w:val="28"/>
          <w:szCs w:val="28"/>
        </w:rPr>
        <w:t xml:space="preserve"> </w:t>
      </w:r>
      <w:r w:rsidRPr="00595F45">
        <w:rPr>
          <w:rFonts w:ascii="Times New Roman" w:hAnsi="Times New Roman" w:cs="Times New Roman"/>
          <w:sz w:val="28"/>
          <w:szCs w:val="28"/>
        </w:rPr>
        <w:t xml:space="preserve">от 28.12.2017 № 40 «О бюджете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519F" w:rsidRDefault="004C519F" w:rsidP="004C5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133-134 п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Минфина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</w:t>
      </w:r>
      <w:r w:rsidRPr="00382791">
        <w:rPr>
          <w:rFonts w:ascii="Times New Roman" w:hAnsi="Times New Roman" w:cs="Times New Roman"/>
          <w:sz w:val="28"/>
          <w:szCs w:val="28"/>
        </w:rPr>
        <w:t>от 28.02.2019</w:t>
      </w:r>
      <w:r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годовой, квартальной и месячной отчётности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бюджетной системы Российской Федерации»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32 048,02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плановых показателей доходов бюджета формы 0503117 «Отчёта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бюджета»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«Доходы бюджета» не соответствуе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30 543,50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доходов бюджета, утверждённых </w:t>
      </w:r>
      <w:r w:rsidRPr="00595F4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5F4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Кедровый</w:t>
      </w:r>
      <w:r w:rsidRPr="004F3159">
        <w:rPr>
          <w:rFonts w:ascii="Times New Roman" w:hAnsi="Times New Roman" w:cs="Times New Roman"/>
          <w:sz w:val="28"/>
          <w:szCs w:val="28"/>
        </w:rPr>
        <w:t xml:space="preserve"> </w:t>
      </w:r>
      <w:r w:rsidRPr="00595F45">
        <w:rPr>
          <w:rFonts w:ascii="Times New Roman" w:hAnsi="Times New Roman" w:cs="Times New Roman"/>
          <w:sz w:val="28"/>
          <w:szCs w:val="28"/>
        </w:rPr>
        <w:t xml:space="preserve">от 28.12.2017 № 40 «О бюджете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lastRenderedPageBreak/>
        <w:t>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19F" w:rsidRDefault="004C519F" w:rsidP="004C5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133-134 п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Минфина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191н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(редакция </w:t>
      </w:r>
      <w:r w:rsidRPr="00382791">
        <w:rPr>
          <w:rFonts w:ascii="Times New Roman" w:hAnsi="Times New Roman" w:cs="Times New Roman"/>
          <w:sz w:val="28"/>
          <w:szCs w:val="28"/>
        </w:rPr>
        <w:t>от 28.02.2019</w:t>
      </w:r>
      <w:r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годовой, квартальной и месячной отчётности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бюджетной системы Российской Федерации»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35 628,00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плановых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формы 0503117 «Отчёта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бюджета»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бюджета» не соответствуе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34 123,50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утверждённых </w:t>
      </w:r>
      <w:r w:rsidRPr="00595F4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5F4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Кедровый</w:t>
      </w:r>
      <w:r w:rsidRPr="004F3159">
        <w:rPr>
          <w:rFonts w:ascii="Times New Roman" w:hAnsi="Times New Roman" w:cs="Times New Roman"/>
          <w:sz w:val="28"/>
          <w:szCs w:val="28"/>
        </w:rPr>
        <w:t xml:space="preserve"> </w:t>
      </w:r>
      <w:r w:rsidRPr="00595F45">
        <w:rPr>
          <w:rFonts w:ascii="Times New Roman" w:hAnsi="Times New Roman" w:cs="Times New Roman"/>
          <w:sz w:val="28"/>
          <w:szCs w:val="28"/>
        </w:rPr>
        <w:t xml:space="preserve">от 28.12.2017 № 40 «О бюджете сельского поселения Кедровый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5F45">
        <w:rPr>
          <w:rFonts w:ascii="Times New Roman" w:hAnsi="Times New Roman" w:cs="Times New Roman"/>
          <w:sz w:val="28"/>
          <w:szCs w:val="28"/>
        </w:rPr>
        <w:t>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193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    на 01 января 2019</w:t>
      </w:r>
      <w:r w:rsidRPr="00AC06D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AC06D7">
        <w:rPr>
          <w:rFonts w:ascii="Times New Roman" w:hAnsi="Times New Roman" w:cs="Times New Roman"/>
          <w:sz w:val="28"/>
          <w:szCs w:val="28"/>
        </w:rPr>
        <w:t>согласно Инструкции 191н и на основании Баланса главного</w:t>
      </w:r>
      <w:r w:rsidRPr="00AC0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sz w:val="28"/>
          <w:szCs w:val="28"/>
        </w:rPr>
        <w:t>распорядителя, распорядителя, получателя бюджетных средств  ф. 0503130 и Баланса по поступлениям и выбытиям бюджетных средств            ф. 0503140 путем объединения показателей по строкам и графам отчетов,                          с одновременным исключением взаимосвязанных показателей.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010 графы 8 соответствуют строке 010 графы 11 Сведений о движении нефинансовых активов </w:t>
      </w:r>
      <w:hyperlink r:id="rId7" w:history="1">
        <w:r w:rsidRPr="00AC06D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AC06D7">
        <w:rPr>
          <w:rFonts w:ascii="Times New Roman" w:hAnsi="Times New Roman" w:cs="Times New Roman"/>
          <w:sz w:val="28"/>
          <w:szCs w:val="28"/>
        </w:rPr>
        <w:t xml:space="preserve"> и составляют на конец года 11 978 015,49 рублей (на начало года 11 960 215,49 рублей). Амортизация основных средств составила на конец года 7 407 086,29 рублей.                             В 2018 году произошло увеличение объемов нефинансовых активов                       в части остаточной стоимости основных средств на 53 481,43 рубль.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о финансовых результатах деятельности (ф.0503121) и справки        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     и материальных запасов, соответствуют показателям отчета о финансовых результатах деятельности ф. 0503121.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3) </w:t>
      </w:r>
      <w:r w:rsidRPr="00AC06D7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D7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                        30 971 793,59 рубля сложилась в результате начисления налоговых доходов в сумме 7 056 099,12 рублей, доходов от собственности в сумме 149 698,98 рублей, безвозмездных поступлений от бюджетов в размере 23 077 778,93 рублей, доходы от операций с активами в сумме                   (минус) 73 886,23 рублей, прочие доходы в сумме 762 102,79 рубля.</w:t>
      </w:r>
      <w:proofErr w:type="gramEnd"/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D7"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согласно вышеуказанному отчету, по бюджетной деятельности составили 30 458 108,83 рублей, из них: на оплату труда                   и начисления – 19 609 230,13 рублей (64,38 %), на приобретение услуг           – 7 383 311,04 рублей (24,24 %), безвозмездные перечисления бюджетам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06D7">
        <w:rPr>
          <w:rFonts w:ascii="Times New Roman" w:hAnsi="Times New Roman" w:cs="Times New Roman"/>
          <w:sz w:val="28"/>
          <w:szCs w:val="28"/>
        </w:rPr>
        <w:t xml:space="preserve">– 2 669 060,65 рублей (8,76 %), социальное обеспечение – 210 333,00 рубля (0,69 %), прочие расходы – 586 174,01 рубля (1,92 %). </w:t>
      </w:r>
      <w:proofErr w:type="gramEnd"/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Чистый операционный результат сложился в сумме 513 684,76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6D7">
        <w:rPr>
          <w:rFonts w:ascii="Times New Roman" w:hAnsi="Times New Roman" w:cs="Times New Roman"/>
          <w:sz w:val="28"/>
          <w:szCs w:val="28"/>
        </w:rPr>
        <w:t xml:space="preserve"> со знаком «плюс».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Проверена правильность отражения структуры расходов: сумма строк анализируемого отчета 160-280 равняется расходам, отраженным                   по строке 150.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по бюджетной деятельности сложился в размере – 513 684,76 рубля со знаком «плюс»,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06D7">
        <w:rPr>
          <w:rFonts w:ascii="Times New Roman" w:hAnsi="Times New Roman" w:cs="Times New Roman"/>
          <w:sz w:val="28"/>
          <w:szCs w:val="28"/>
        </w:rPr>
        <w:t>что соответствует финансовому результату согласно балансу исполнения бюджета ф. 0503120 (стр. 560 гр. 8 – гр. 5).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01.01.2019 года отклонений не выявлено. 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4) </w:t>
      </w:r>
      <w:r w:rsidRPr="00AC06D7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AC0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6D7">
        <w:rPr>
          <w:rFonts w:ascii="Times New Roman" w:hAnsi="Times New Roman" w:cs="Times New Roman"/>
          <w:sz w:val="28"/>
          <w:szCs w:val="28"/>
        </w:rPr>
        <w:t>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30 011 783,51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6D7">
        <w:rPr>
          <w:rFonts w:ascii="Times New Roman" w:hAnsi="Times New Roman" w:cs="Times New Roman"/>
          <w:sz w:val="28"/>
          <w:szCs w:val="28"/>
        </w:rPr>
        <w:t>, в разделе «Выбытия» отражены расходы бюджета в размере – 30 451 188,13 рублей, в разделе «Изменение остатков средств» отражена разница между доходами                      и расходами бюджета в размере – 439 404,62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6D7">
        <w:rPr>
          <w:rFonts w:ascii="Times New Roman" w:hAnsi="Times New Roman" w:cs="Times New Roman"/>
          <w:sz w:val="28"/>
          <w:szCs w:val="28"/>
        </w:rPr>
        <w:t xml:space="preserve"> со знаком «плюс».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AC06D7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- раздел 2 «Результаты деятельности субъекта бюджетной отчетности»</w:t>
      </w:r>
      <w:r w:rsidRPr="00AC06D7">
        <w:rPr>
          <w:rFonts w:ascii="Times New Roman" w:hAnsi="Times New Roman" w:cs="Times New Roman"/>
          <w:sz w:val="28"/>
          <w:szCs w:val="28"/>
        </w:rPr>
        <w:t xml:space="preserve">, в части заполнения данного раздела отмечается низкая </w:t>
      </w:r>
      <w:r w:rsidRPr="00AC06D7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информативность. </w:t>
      </w:r>
      <w:proofErr w:type="gramStart"/>
      <w:r w:rsidRPr="00AC06D7">
        <w:rPr>
          <w:rFonts w:ascii="Times New Roman" w:hAnsi="Times New Roman" w:cs="Times New Roman"/>
          <w:sz w:val="28"/>
          <w:szCs w:val="28"/>
        </w:rPr>
        <w:t>При заполнении рекомендуется отражать информацию о количестве человек, прошедших курсы повышения квалификации,                    о численности муниципальных служащих, информацию о ресурсах (объемы закупок и т.д.), используемых для достижения показателей результативности деятельности субъекта бюджетной отчетности, также рекомендуется указывать информацию об обеспеченности субъекта бюджетной отчетности и его структурных  подразделений основными фондами, о техническом состоянии основных фондов, информацию                   об основных мероприятиях по улучшению состояния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и сохранности основных средств, а также сведения о своевременности поступления материальных запасов;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- в нарушение пункта 157 Инструкции № 191н отсутствует Таблица        № 6  "Сведения о проведении инвентаризаций" не содержит информации, характеризующей</w:t>
      </w:r>
      <w:r w:rsidRPr="00AC06D7">
        <w:rPr>
          <w:rFonts w:ascii="Times New Roman" w:hAnsi="Times New Roman" w:cs="Times New Roman"/>
        </w:rPr>
        <w:t xml:space="preserve"> </w:t>
      </w:r>
      <w:r w:rsidRPr="00AC06D7">
        <w:rPr>
          <w:rFonts w:ascii="Times New Roman" w:hAnsi="Times New Roman" w:cs="Times New Roman"/>
          <w:sz w:val="28"/>
          <w:szCs w:val="28"/>
        </w:rPr>
        <w:t>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расхождений;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D7">
        <w:rPr>
          <w:rFonts w:ascii="Times New Roman" w:hAnsi="Times New Roman" w:cs="Times New Roman"/>
          <w:sz w:val="28"/>
          <w:szCs w:val="28"/>
        </w:rPr>
        <w:t>- в нарушение пункта 158 Инструкции № 191н отсутствует Таблица        № 7 "Сведения о результатах внешнего государственного (муниципального) финансового контроля" не содержит информации, характеризующей</w:t>
      </w:r>
      <w:r w:rsidRPr="00AC06D7">
        <w:rPr>
          <w:rFonts w:ascii="Times New Roman" w:hAnsi="Times New Roman" w:cs="Times New Roman"/>
        </w:rPr>
        <w:t xml:space="preserve"> </w:t>
      </w:r>
      <w:r w:rsidRPr="00AC06D7">
        <w:rPr>
          <w:rFonts w:ascii="Times New Roman" w:hAnsi="Times New Roman" w:cs="Times New Roman"/>
          <w:sz w:val="28"/>
          <w:szCs w:val="28"/>
        </w:rPr>
        <w:t xml:space="preserve">результаты проведенных в отчетном периоде мероприятий по внешнему государственному (муниципальному) финансовому контролю в сфере бюджетных правоотношений (контролю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06D7">
        <w:rPr>
          <w:rFonts w:ascii="Times New Roman" w:hAnsi="Times New Roman" w:cs="Times New Roman"/>
          <w:sz w:val="28"/>
          <w:szCs w:val="28"/>
        </w:rPr>
        <w:t>за соблюдением требований бюджетного законодательства Российской Федерации, соблюдением финансовой дисциплины и эффективным использованием материальных и финансовых ресурсов, а также правильным ведением бюджетного</w:t>
      </w:r>
      <w:proofErr w:type="gramEnd"/>
      <w:r w:rsidRPr="00AC06D7">
        <w:rPr>
          <w:rFonts w:ascii="Times New Roman" w:hAnsi="Times New Roman" w:cs="Times New Roman"/>
          <w:sz w:val="28"/>
          <w:szCs w:val="28"/>
        </w:rPr>
        <w:t xml:space="preserve"> учета и составлением бюджетной отчетности в субъекте бюджетной отчетности) Счетной палатой Российской Федерации, контрольно-счетными органами субъектов Российской Федерации и муниципальных образований;</w:t>
      </w:r>
    </w:p>
    <w:p w:rsidR="004C519F" w:rsidRDefault="004C519F" w:rsidP="004C5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- в нарушение пункта 156 Инструкции № 191н в качестве сведений об особенностях ведения бюджетного учета </w:t>
      </w:r>
      <w:hyperlink w:anchor="P13904" w:history="1">
        <w:r w:rsidRPr="00AC06D7">
          <w:rPr>
            <w:rFonts w:ascii="Times New Roman" w:hAnsi="Times New Roman" w:cs="Times New Roman"/>
            <w:sz w:val="28"/>
            <w:szCs w:val="28"/>
          </w:rPr>
          <w:t>Таблица № 4</w:t>
        </w:r>
      </w:hyperlink>
      <w:r w:rsidRPr="00AC06D7">
        <w:rPr>
          <w:rFonts w:ascii="Times New Roman" w:hAnsi="Times New Roman" w:cs="Times New Roman"/>
          <w:sz w:val="28"/>
          <w:szCs w:val="28"/>
        </w:rPr>
        <w:t xml:space="preserve"> не содержит информации об использованных в отчетном периоде особенностях отражения в бюджетном учете операций с активами и обязательствами;</w:t>
      </w:r>
    </w:p>
    <w:p w:rsidR="004C519F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19F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E2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2F">
        <w:rPr>
          <w:rFonts w:ascii="Times New Roman" w:hAnsi="Times New Roman" w:cs="Times New Roman"/>
          <w:sz w:val="28"/>
          <w:szCs w:val="28"/>
        </w:rPr>
        <w:t>№ 3 «Сведения об исполнении текстовых статей закона (решения) о бюджете», входящая в состав раздела, не содержит статьи закона (решения) о бюджете. Вместо этого приведены регистрационные данные (н</w:t>
      </w:r>
      <w:r>
        <w:rPr>
          <w:rFonts w:ascii="Times New Roman" w:hAnsi="Times New Roman" w:cs="Times New Roman"/>
          <w:sz w:val="28"/>
          <w:szCs w:val="28"/>
        </w:rPr>
        <w:t>омер и дата) решения о бюджете.</w:t>
      </w:r>
    </w:p>
    <w:p w:rsidR="004C519F" w:rsidRDefault="004C519F" w:rsidP="004C519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E2F">
        <w:rPr>
          <w:rFonts w:ascii="Times New Roman" w:hAnsi="Times New Roman" w:cs="Times New Roman"/>
          <w:sz w:val="28"/>
          <w:szCs w:val="28"/>
        </w:rPr>
        <w:t>Отсутствует иная информация, оказавшая существенное влияние                  и характеризующая результаты исполнения бюджета субъектом бюджетной от</w:t>
      </w:r>
      <w:r>
        <w:rPr>
          <w:rFonts w:ascii="Times New Roman" w:hAnsi="Times New Roman" w:cs="Times New Roman"/>
          <w:sz w:val="28"/>
          <w:szCs w:val="28"/>
        </w:rPr>
        <w:t xml:space="preserve">четности за отчетный период, не </w:t>
      </w:r>
      <w:proofErr w:type="gramStart"/>
      <w:r w:rsidRPr="004D7E2F">
        <w:rPr>
          <w:rFonts w:ascii="Times New Roman" w:hAnsi="Times New Roman" w:cs="Times New Roman"/>
          <w:sz w:val="28"/>
          <w:szCs w:val="28"/>
        </w:rPr>
        <w:t>нашедшую</w:t>
      </w:r>
      <w:proofErr w:type="gramEnd"/>
      <w:r w:rsidRPr="004D7E2F">
        <w:rPr>
          <w:rFonts w:ascii="Times New Roman" w:hAnsi="Times New Roman" w:cs="Times New Roman"/>
          <w:sz w:val="28"/>
          <w:szCs w:val="28"/>
        </w:rPr>
        <w:t xml:space="preserve"> отражения                  в таблицах и приложениях, включаемых в ра</w:t>
      </w:r>
      <w:r>
        <w:rPr>
          <w:rFonts w:ascii="Times New Roman" w:hAnsi="Times New Roman" w:cs="Times New Roman"/>
          <w:sz w:val="28"/>
          <w:szCs w:val="28"/>
        </w:rPr>
        <w:t>здел;</w:t>
      </w:r>
    </w:p>
    <w:p w:rsidR="004C519F" w:rsidRPr="00AC06D7" w:rsidRDefault="004C519F" w:rsidP="004C51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D7E2F">
        <w:rPr>
          <w:rFonts w:ascii="Times New Roman" w:hAnsi="Times New Roman" w:cs="Times New Roman"/>
          <w:sz w:val="28"/>
          <w:szCs w:val="28"/>
        </w:rPr>
        <w:t>раздел 4 «Анализ показателей бухгалтерской отчетности субъекта бюджетной отчетности» не содержит аналитику данных на начало года                 в сравнении с данными на конец года, с указанием причин у</w:t>
      </w:r>
      <w:r>
        <w:rPr>
          <w:rFonts w:ascii="Times New Roman" w:hAnsi="Times New Roman" w:cs="Times New Roman"/>
          <w:sz w:val="28"/>
          <w:szCs w:val="28"/>
        </w:rPr>
        <w:t>величения или снижения значений</w:t>
      </w:r>
      <w:r w:rsidRPr="00AC06D7">
        <w:rPr>
          <w:rFonts w:ascii="Times New Roman" w:hAnsi="Times New Roman" w:cs="Times New Roman"/>
          <w:sz w:val="28"/>
          <w:szCs w:val="28"/>
        </w:rPr>
        <w:t>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>В ходе проверки бюджетной отчетности сельского поселения факты, способные негативно повлиять на достоверность бюджетной отчетности, не выявлены, но установлен ряд нарушений и недостатков по оформлению и содержанию отдельных документов отчетности: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- не конкретизирована периодичность сдачи бюджетной отчетности, так, вместо указания периодичности – «годовая», в формах отчетности указана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месячная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квартальная, годовая или полугодовая, годовая.</w:t>
      </w:r>
    </w:p>
    <w:p w:rsidR="004C519F" w:rsidRPr="00AC06D7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06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19F" w:rsidRPr="00AC06D7" w:rsidRDefault="004C519F" w:rsidP="004C519F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C06D7">
        <w:rPr>
          <w:rFonts w:ascii="Times New Roman" w:hAnsi="Times New Roman" w:cs="Times New Roman"/>
          <w:b/>
          <w:sz w:val="28"/>
          <w:szCs w:val="28"/>
        </w:rPr>
        <w:t xml:space="preserve"> 7. В</w:t>
      </w:r>
      <w:r w:rsidRPr="00AC06D7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4C519F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r w:rsidRPr="00904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внешней проверки </w:t>
      </w:r>
      <w:r w:rsidRPr="0090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отчета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Кедровый</w:t>
      </w:r>
      <w:r w:rsidRPr="0090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контрольно-счетная палата                        Ханты-Мансийского района </w:t>
      </w:r>
      <w:r w:rsidRPr="00167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подтверждает достоверность отчета                         об исполнении бюджета сельского поселения и </w:t>
      </w:r>
      <w:r w:rsidRPr="0090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рекомендует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90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утверждению годовой отчет сельского поселения</w:t>
      </w:r>
      <w:r w:rsidRPr="00904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519F" w:rsidRDefault="004C519F" w:rsidP="004C519F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0F1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нарушения                      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годовую бюджетную отчетность,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действующих нормативных правовых актов по ведению бюджетного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составлению бюджетной отчетности, при этом учесть требования приказа Минфина России от 28.12.2010 № 191н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 и месячной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бюджетов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Федерации».</w:t>
      </w:r>
    </w:p>
    <w:p w:rsidR="004D7E2F" w:rsidRDefault="004D7E2F" w:rsidP="004C5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7E2F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2F" w:rsidRDefault="00D82A2F" w:rsidP="00617B40">
      <w:pPr>
        <w:spacing w:after="0" w:line="240" w:lineRule="auto"/>
      </w:pPr>
      <w:r>
        <w:separator/>
      </w:r>
    </w:p>
  </w:endnote>
  <w:endnote w:type="continuationSeparator" w:id="0">
    <w:p w:rsidR="00D82A2F" w:rsidRDefault="00D82A2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2F" w:rsidRDefault="00D82A2F" w:rsidP="00617B40">
      <w:pPr>
        <w:spacing w:after="0" w:line="240" w:lineRule="auto"/>
      </w:pPr>
      <w:r>
        <w:separator/>
      </w:r>
    </w:p>
  </w:footnote>
  <w:footnote w:type="continuationSeparator" w:id="0">
    <w:p w:rsidR="00D82A2F" w:rsidRDefault="00D82A2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6F23"/>
    <w:rsid w:val="000553F6"/>
    <w:rsid w:val="0005698A"/>
    <w:rsid w:val="0009485B"/>
    <w:rsid w:val="00094C89"/>
    <w:rsid w:val="000A20DE"/>
    <w:rsid w:val="000B30E4"/>
    <w:rsid w:val="000B4C48"/>
    <w:rsid w:val="000B6BD3"/>
    <w:rsid w:val="000D4A5E"/>
    <w:rsid w:val="000E2AD9"/>
    <w:rsid w:val="000E4D41"/>
    <w:rsid w:val="000F242D"/>
    <w:rsid w:val="00113D3B"/>
    <w:rsid w:val="00150967"/>
    <w:rsid w:val="0015774B"/>
    <w:rsid w:val="00167936"/>
    <w:rsid w:val="00182B80"/>
    <w:rsid w:val="001847D2"/>
    <w:rsid w:val="0018600B"/>
    <w:rsid w:val="00186A59"/>
    <w:rsid w:val="001C5C3F"/>
    <w:rsid w:val="001E3E7A"/>
    <w:rsid w:val="001F2AC4"/>
    <w:rsid w:val="002110E6"/>
    <w:rsid w:val="0021693B"/>
    <w:rsid w:val="00225C7D"/>
    <w:rsid w:val="002300FD"/>
    <w:rsid w:val="00234040"/>
    <w:rsid w:val="002529F0"/>
    <w:rsid w:val="00256BF7"/>
    <w:rsid w:val="0026191D"/>
    <w:rsid w:val="00261D49"/>
    <w:rsid w:val="00294528"/>
    <w:rsid w:val="00297A80"/>
    <w:rsid w:val="002A4904"/>
    <w:rsid w:val="002A75A0"/>
    <w:rsid w:val="002D0994"/>
    <w:rsid w:val="002F0576"/>
    <w:rsid w:val="00301280"/>
    <w:rsid w:val="003304F2"/>
    <w:rsid w:val="00343BF0"/>
    <w:rsid w:val="00343FF5"/>
    <w:rsid w:val="003624D8"/>
    <w:rsid w:val="0036414A"/>
    <w:rsid w:val="003900E6"/>
    <w:rsid w:val="00393DAD"/>
    <w:rsid w:val="00397EFC"/>
    <w:rsid w:val="003B5C07"/>
    <w:rsid w:val="003D47F9"/>
    <w:rsid w:val="003F2416"/>
    <w:rsid w:val="003F3603"/>
    <w:rsid w:val="00404BE7"/>
    <w:rsid w:val="00417101"/>
    <w:rsid w:val="00422070"/>
    <w:rsid w:val="00422083"/>
    <w:rsid w:val="00431272"/>
    <w:rsid w:val="004333EE"/>
    <w:rsid w:val="0044500A"/>
    <w:rsid w:val="004463EA"/>
    <w:rsid w:val="00465FC6"/>
    <w:rsid w:val="00470E2C"/>
    <w:rsid w:val="004B28BF"/>
    <w:rsid w:val="004C069C"/>
    <w:rsid w:val="004C519F"/>
    <w:rsid w:val="004C7125"/>
    <w:rsid w:val="004D7E2F"/>
    <w:rsid w:val="004F72DA"/>
    <w:rsid w:val="004F7CDE"/>
    <w:rsid w:val="00510C9D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604C4E"/>
    <w:rsid w:val="00610BF8"/>
    <w:rsid w:val="00617B40"/>
    <w:rsid w:val="00617E0F"/>
    <w:rsid w:val="0062166C"/>
    <w:rsid w:val="00623C81"/>
    <w:rsid w:val="00624276"/>
    <w:rsid w:val="00626321"/>
    <w:rsid w:val="00626796"/>
    <w:rsid w:val="00636F28"/>
    <w:rsid w:val="00650EDB"/>
    <w:rsid w:val="00655734"/>
    <w:rsid w:val="006601E8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3A13"/>
    <w:rsid w:val="006D495B"/>
    <w:rsid w:val="007343BF"/>
    <w:rsid w:val="007349BC"/>
    <w:rsid w:val="00765385"/>
    <w:rsid w:val="0077481C"/>
    <w:rsid w:val="007A0722"/>
    <w:rsid w:val="007C5828"/>
    <w:rsid w:val="007D55D2"/>
    <w:rsid w:val="00805A4C"/>
    <w:rsid w:val="00822F9D"/>
    <w:rsid w:val="00827A88"/>
    <w:rsid w:val="008459BB"/>
    <w:rsid w:val="00886731"/>
    <w:rsid w:val="00887852"/>
    <w:rsid w:val="00897CB6"/>
    <w:rsid w:val="008C2ACB"/>
    <w:rsid w:val="008D1000"/>
    <w:rsid w:val="008D6252"/>
    <w:rsid w:val="008E4601"/>
    <w:rsid w:val="00903CF1"/>
    <w:rsid w:val="00927695"/>
    <w:rsid w:val="00933810"/>
    <w:rsid w:val="00937B7D"/>
    <w:rsid w:val="00962B7D"/>
    <w:rsid w:val="0096338B"/>
    <w:rsid w:val="009917B5"/>
    <w:rsid w:val="009A231B"/>
    <w:rsid w:val="009C0855"/>
    <w:rsid w:val="009C1751"/>
    <w:rsid w:val="009C233F"/>
    <w:rsid w:val="009F6EC2"/>
    <w:rsid w:val="00A14960"/>
    <w:rsid w:val="00A32579"/>
    <w:rsid w:val="00A33D50"/>
    <w:rsid w:val="00A82F7A"/>
    <w:rsid w:val="00AC16A7"/>
    <w:rsid w:val="00AC194A"/>
    <w:rsid w:val="00AD697A"/>
    <w:rsid w:val="00AF1991"/>
    <w:rsid w:val="00AF7E8A"/>
    <w:rsid w:val="00B0009B"/>
    <w:rsid w:val="00B04CBF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964C1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7BE3"/>
    <w:rsid w:val="00C7412C"/>
    <w:rsid w:val="00CA7141"/>
    <w:rsid w:val="00CB7B7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347DA"/>
    <w:rsid w:val="00D43162"/>
    <w:rsid w:val="00D441B1"/>
    <w:rsid w:val="00D4701F"/>
    <w:rsid w:val="00D53054"/>
    <w:rsid w:val="00D64FB3"/>
    <w:rsid w:val="00D73FDB"/>
    <w:rsid w:val="00D768D7"/>
    <w:rsid w:val="00D77C65"/>
    <w:rsid w:val="00D8061E"/>
    <w:rsid w:val="00D82A2F"/>
    <w:rsid w:val="00DB032D"/>
    <w:rsid w:val="00DC0388"/>
    <w:rsid w:val="00DC4F20"/>
    <w:rsid w:val="00DE12FA"/>
    <w:rsid w:val="00E020E1"/>
    <w:rsid w:val="00E024DC"/>
    <w:rsid w:val="00E03E3B"/>
    <w:rsid w:val="00E05238"/>
    <w:rsid w:val="00E05262"/>
    <w:rsid w:val="00E26486"/>
    <w:rsid w:val="00E34B40"/>
    <w:rsid w:val="00E35131"/>
    <w:rsid w:val="00E352A1"/>
    <w:rsid w:val="00E516F7"/>
    <w:rsid w:val="00E624C3"/>
    <w:rsid w:val="00E72B38"/>
    <w:rsid w:val="00EA36BD"/>
    <w:rsid w:val="00ED01A2"/>
    <w:rsid w:val="00ED123C"/>
    <w:rsid w:val="00EE3E66"/>
    <w:rsid w:val="00EF214F"/>
    <w:rsid w:val="00F051DC"/>
    <w:rsid w:val="00F10E32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3754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3B"/>
  </w:style>
  <w:style w:type="paragraph" w:styleId="1">
    <w:name w:val="heading 1"/>
    <w:basedOn w:val="a"/>
    <w:next w:val="a"/>
    <w:link w:val="10"/>
    <w:uiPriority w:val="9"/>
    <w:qFormat/>
    <w:rsid w:val="004D7E2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E2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7E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D7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D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D7E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4D7E2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7E2F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4D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2">
    <w:name w:val="s_22"/>
    <w:basedOn w:val="a"/>
    <w:rsid w:val="004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4955-85D4-42DA-A5D9-CDCFFAF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2019-04-29T12:50:00Z</dcterms:modified>
</cp:coreProperties>
</file>